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天津市老年人大学</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完善终身教育体系，提供教育服务，实施老有所教，老有所学，提高老年人素质</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天津市老年人大学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单位本级（内设16个职称处室）。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天津市老年人大学</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18162870.59</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17004167.50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11159.37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17015326.87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18162870.59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1147543.72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18162870.59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18162870.59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17015326.87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17004167.50</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11159.37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17015326.87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17004167.50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11159.37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17015326.87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17004167.50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11159.37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17015326.87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17004167.50</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11159.37</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天津市老年人大学</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18162870.59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17015326.87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17004167.50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11159.37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330256</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天津市老年人大学</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18162870.59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17015326.87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17004167.50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11159.37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天津市老年人大学</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1147543.72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1147543.72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1147543.72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330256</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天津市老年人大学</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1147543.72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1147543.72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1147543.72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18162870.59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18162870.59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18162870.59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18162870.59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18162870.59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18162870.59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18162870.59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18162870.59</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普通(网站)"/>
        <w:keepNext w:val="0"/>
        <w:keepLines w:val="0"/>
        <w:widowControl/>
        <w:suppressLineNumbers w:val="0"/>
        <w:snapToGrid w:val="0"/>
        <w:spacing w:before="60" w:beforeAutospacing="0" w:after="60" w:afterAutospacing="0"/>
        <w:ind w:left="-960" w:right="0" w:firstLine="0" w:leftChars="-400" w:rightChars="0" w:firstLineChars="0"/>
        <w:jc w:val="left"/>
        <w:rPr>
          <w:rFonts w:ascii="宋体" w:eastAsia="宋体" w:hAnsi="宋体" w:cs="宋体" w:hint="eastAsia"/>
          <w:i w:val="0"/>
          <w:iCs w:val="0"/>
          <w:color w:val="000000"/>
          <w:sz w:val="20"/>
          <w:szCs w:val="20"/>
          <w:u w:val="none"/>
          <w:lang w:val="en-US" w:eastAsia="zh-CN" w:bidi="ar-SA"/>
        </w:rPr>
      </w:pPr>
      <w:r>
        <w:rPr>
          <w:rFonts w:ascii="宋体" w:eastAsia="宋体" w:hAnsi="宋体" w:cs="宋体" w:hint="eastAsia"/>
          <w:i w:val="0"/>
          <w:iCs w:val="0"/>
          <w:color w:val="000000"/>
          <w:sz w:val="20"/>
          <w:szCs w:val="20"/>
          <w:u w:val="none"/>
          <w:lang w:val="en-US" w:eastAsia="zh-CN" w:bidi="ar-SA"/>
        </w:rPr>
        <w:t xml:space="preserve">天津市老年人大学2025年度财政拨款收入支出决算总表为空表。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天津市老年人大学</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天津市老年人大学2025年度一般公共预算财政拨款支出决算表为空表。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普通(网站)"/>
        <w:keepNext w:val="0"/>
        <w:keepLines w:val="0"/>
        <w:widowControl/>
        <w:suppressLineNumbers w:val="0"/>
        <w:snapToGrid w:val="0"/>
        <w:spacing w:before="60" w:beforeAutospacing="0" w:after="60" w:afterAutospacing="0"/>
        <w:ind w:left="-960" w:right="0" w:firstLine="0" w:leftChars="-40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天津市老年人大学2025年度一般公共预算财政拨款基本支出决算表为空表。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天津市老年人大学2025年度政府性基金预算财政拨款收入支出决算表为空表。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天津市老年人大学2025年度国有资本经营预算财政拨款收入支出决算表为空表。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天津市老年人大学2025年财政拨款“三公”经费支出决算表为空表。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天津市老年人大学</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天津市老年人大学2025年项目支出决算表为空表。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18,162,870.59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增加148,294.08元，增长0.82%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事业收入增加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事业收入17,004,167.50元、其他收入11,159.37元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教育支出18,162,870.59元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天津市老年人大学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17,015,326.87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增加825,513.80元，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事业收入17,004,167.50元，占99.93%；其他收入11,159.37元，占0.07%</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天津市老年人大学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18,162,870.59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增加148,294.08元，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专用材料及维护费的增加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基本支出18,162,870.59元，占100.00%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增加0.00元，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本单位无财政拨款</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天津市老年人大学2025年度无一般公共预算财政拨款收入、支出和结转结余。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pPr>
      <w:r>
        <w:rPr>
          <w:rFonts w:eastAsia="仿宋_GB2312" w:hint="eastAsia"/>
          <w:sz w:val="30"/>
          <w:szCs w:val="30"/>
          <w:highlight w:val="none"/>
          <w:lang w:val="en-US" w:eastAsia="zh-CN"/>
        </w:rPr>
        <w:t xml:space="preserve">天津市老年人大学2025年度无一般公共预算财政拨款基本支出。</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老年人大学2025年政府采购支出总额1,043,506.33元，其中：政府采购货物支出15,000.00元、政府采购工程支出0.00元、政府采购服务支出1,028,506.33元。授予中小企业合同金额0.00元，占政府采购支出总额的0.00%，其中：授予小微企业合同金额0.00元，占政府采购支出总额的0.00%；货物采购授予中小企业合同金额占货物支出金额的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截至2025年12月31日，天津市老年人大学共有车辆2辆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其他用车2辆</w:t>
      </w:r>
      <w:r>
        <w:rPr>
          <w:rFonts w:eastAsia="仿宋_GB2312" w:hint="eastAsia"/>
          <w:sz w:val="30"/>
          <w:szCs w:val="30"/>
          <w:highlight w:val="none"/>
          <w:lang w:val="en-US" w:eastAsia="zh-CN"/>
        </w:rPr>
        <w:t xml:space="preserve">，其他用车主要包括业务用车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天津市老年人大学2025年度没有项目支出,无需开展绩效自评。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天津市老年人大学不属于乡、镇、街级单位,不涉及公开2025年度教育、医疗卫生、社会保障和就业、住房保障、涉农补贴等民生支出情况。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E8EEE95B-C47A-4FF5-AEEB-EF0CD47D216C}"/>
    <w:embedBold r:id="rId2" w:subsetted="1" w:fontKey="{218259D0-1460-4140-AF70-4DD80DF6E5CD}"/>
  </w:font>
  <w:font w:name="Cambria">
    <w:panose1 w:val="02040503050406030204"/>
    <w:charset w:val="00"/>
    <w:family w:val="roman"/>
    <w:pitch w:val="default"/>
    <w:sig w:usb0="E00006FF" w:usb1="420024FF" w:usb2="02000000" w:usb3="00000000" w:csb0="2000019F" w:csb1="00000000"/>
    <w:embedRegular r:id="rId3" w:fontKey="{31D6D34C-E1F7-4E2E-9879-35A4DC3DB94E}"/>
  </w:font>
  <w:font w:name="Calibri">
    <w:panose1 w:val="020F0502020204030204"/>
    <w:charset w:val="00"/>
    <w:family w:val="swiss"/>
    <w:pitch w:val="default"/>
    <w:sig w:usb0="E4002EFF" w:usb1="C200247B" w:usb2="00000009" w:usb3="00000000" w:csb0="200001FF" w:csb1="00000000"/>
    <w:embedRegular r:id="rId4" w:fontKey="{E4357D80-ECF7-42A3-8902-794F872CED56}"/>
  </w:font>
  <w:font w:name="黑体">
    <w:panose1 w:val="02010609060101010101"/>
    <w:charset w:val="FFFFFF86"/>
    <w:family w:val="auto"/>
    <w:pitch w:val="default"/>
    <w:sig w:usb0="800002BF" w:usb1="38CF7CFA" w:usb2="00000016" w:usb3="00000000" w:csb0="00040001" w:csb1="00000000"/>
    <w:embedRegular r:id="rId5" w:subsetted="1" w:fontKey="{6451DBBC-022F-47A1-82C9-7FFECE310883}"/>
    <w:embedBold r:id="rId6" w:subsetted="1" w:fontKey="{E354069C-ED4C-417A-B93B-A59AAC870880}"/>
  </w:font>
  <w:font w:name="方正小标宋简体">
    <w:altName w:val="黑体"/>
    <w:panose1 w:val="02000000000000000000"/>
    <w:charset w:val="FFFFFF86"/>
    <w:family w:val="auto"/>
    <w:pitch w:val="default"/>
    <w:sig w:usb0="00000001" w:usb1="08000000" w:usb2="00000000" w:usb3="00000000" w:csb0="00040000" w:csb1="00000000"/>
    <w:embedRegular r:id="rId7" w:fontKey="{3FDA6903-D8CE-48AF-A669-06916FEDBC96}"/>
    <w:embedBold r:id="rId8" w:fontKey="{27AD49BA-F8A8-444D-80D8-041D4EC3574E}"/>
  </w:font>
  <w:font w:name="仿宋">
    <w:panose1 w:val="02010609060101010101"/>
    <w:charset w:val="FFFFFF86"/>
    <w:family w:val="auto"/>
    <w:pitch w:val="default"/>
    <w:sig w:usb0="800002BF" w:usb1="38CF7CFA" w:usb2="00000016" w:usb3="00000000" w:csb0="00040001" w:csb1="00000000"/>
    <w:embedRegular r:id="rId9" w:subsetted="1" w:fontKey="{6F1B7891-40A9-4651-9297-A240264DD96E}"/>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3BE5E5EF-DF03-47EE-8B0C-7C5F1516F49C}"/>
  </w:font>
  <w:font w:name="方正楷体_GB2312">
    <w:altName w:val="宋体"/>
    <w:panose1 w:val="02000000000000000000"/>
    <w:charset w:val="FFFFFF86"/>
    <w:family w:val="auto"/>
    <w:pitch w:val="default"/>
    <w:sig w:usb0="A00002BF" w:usb1="184F6CFA" w:usb2="00000012" w:usb3="00000000" w:csb0="00040001" w:csb1="00000000"/>
    <w:embedRegular r:id="rId11" w:fontKey="{66FD1794-07FE-4ADA-97BC-E79E77808A8E}"/>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Bold r:id="rId12" w:subsetted="1" w:fontKey="{C8FB30C9-0181-49B6-942C-2FBD8BC5EC6B}"/>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26</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